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0" w:after="180"/>
      </w:pPr>
      <w:r>
        <w:rPr>
          <w:b/>
          <w:color w:val="0F172A"/>
          <w:sz w:val="60"/>
          <w:szCs w:val="60"/>
          <w:rFonts w:ascii="Arial" w:hAnsi="Arial" w:cs="Arial"/>
        </w:rPr>
        <w:t>Board Report</w:t>
      </w:r>
    </w:p>
    <w:p>
      <w:pPr>
        <w:jc w:val="center"/>
        <w:spacing w:after="280"/>
      </w:pPr>
      <w:r>
        <w:rPr>
          <w:color w:val="64748B"/>
          <w:sz w:val="22"/>
          <w:szCs w:val="22"/>
          <w:rFonts w:ascii="Arial" w:hAnsi="Arial" w:cs="Arial"/>
        </w:rPr>
        <w:t>March 2026</w:t>
      </w:r>
    </w:p>
    <w:p>
      <w:pPr>
        <w:jc w:val="center"/>
        <w:spacing w:after="240"/>
      </w:pPr>
      <w:r>
        <w:rPr>
          <w:b/>
          <w:color w:val="0F766E"/>
          <w:sz w:val="28"/>
          <w:szCs w:val="28"/>
          <w:rFonts w:ascii="Arial" w:hAnsi="Arial" w:cs="Arial"/>
        </w:rPr>
        <w:t>Prepared automatically with RusDox</w:t>
      </w:r>
    </w:p>
    <w:tbl>
      <w:tblPr>
        <w:tblW w:type="dxa" w:w="9360"/>
      </w:tblPr>
      <w:tr>
        <w:tc>
          <w:tcPr>
            <w:tcW w:type="dxa" w:w="3120"/>
            <w:tcBorders>
              <w:top w:val="single" w:sz="10" w:color="CBD5E1"/>
              <w:bottom w:val="single" w:sz="10" w:color="CBD5E1"/>
              <w:left w:val="single" w:sz="10" w:color="CBD5E1"/>
              <w:right w:val="single" w:sz="10" w:color="CBD5E1"/>
            </w:tcBorders>
            <w:shd w:val="clear" w:color="auto" w:fill="DCFCE7"/>
          </w:tcPr>
          <w:p>
            <w:pPr>
              <w:jc w:val="center"/>
              <w:spacing w:before="60" w:after="20"/>
            </w:pPr>
            <w:r>
              <w:rPr>
                <w:b/>
                <w:color w:val="64748B"/>
                <w:sz w:val="20"/>
                <w:szCs w:val="20"/>
                <w:rFonts w:ascii="Arial" w:hAnsi="Arial" w:cs="Arial"/>
              </w:rPr>
              <w:t>ARR</w:t>
            </w:r>
          </w:p>
          <w:p>
            <w:pPr>
              <w:jc w:val="center"/>
              <w:spacing w:after="80"/>
            </w:pPr>
            <w:r>
              <w:rPr>
                <w:b/>
                <w:color w:val="0F172A"/>
                <w:sz w:val="36"/>
                <w:szCs w:val="36"/>
                <w:rFonts w:ascii="Arial" w:hAnsi="Arial" w:cs="Arial"/>
              </w:rPr>
              <w:t>$18.7M</w:t>
            </w:r>
          </w:p>
        </w:tc>
        <w:tc>
          <w:tcPr>
            <w:tcW w:type="dxa" w:w="3120"/>
            <w:tcBorders>
              <w:top w:val="single" w:sz="10" w:color="CBD5E1"/>
              <w:bottom w:val="single" w:sz="10" w:color="CBD5E1"/>
              <w:left w:val="single" w:sz="10" w:color="CBD5E1"/>
              <w:right w:val="single" w:sz="10" w:color="CBD5E1"/>
            </w:tcBorders>
            <w:shd w:val="clear" w:color="auto" w:fill="F8FAFC"/>
          </w:tcPr>
          <w:p>
            <w:pPr>
              <w:jc w:val="center"/>
              <w:spacing w:before="60" w:after="20"/>
            </w:pPr>
            <w:r>
              <w:rPr>
                <w:b/>
                <w:color w:val="64748B"/>
                <w:sz w:val="20"/>
                <w:szCs w:val="20"/>
                <w:rFonts w:ascii="Arial" w:hAnsi="Arial" w:cs="Arial"/>
              </w:rPr>
              <w:t>NRR</w:t>
            </w:r>
          </w:p>
          <w:p>
            <w:pPr>
              <w:jc w:val="center"/>
              <w:spacing w:after="80"/>
            </w:pPr>
            <w:r>
              <w:rPr>
                <w:b/>
                <w:color w:val="0F172A"/>
                <w:sz w:val="36"/>
                <w:szCs w:val="36"/>
                <w:rFonts w:ascii="Arial" w:hAnsi="Arial" w:cs="Arial"/>
              </w:rPr>
              <w:t>117%</w:t>
            </w:r>
          </w:p>
        </w:tc>
        <w:tc>
          <w:tcPr>
            <w:tcW w:type="dxa" w:w="3120"/>
            <w:tcBorders>
              <w:top w:val="single" w:sz="10" w:color="CBD5E1"/>
              <w:bottom w:val="single" w:sz="10" w:color="CBD5E1"/>
              <w:left w:val="single" w:sz="10" w:color="CBD5E1"/>
              <w:right w:val="single" w:sz="10" w:color="CBD5E1"/>
            </w:tcBorders>
            <w:shd w:val="clear" w:color="auto" w:fill="FEF3C7"/>
          </w:tcPr>
          <w:p>
            <w:pPr>
              <w:jc w:val="center"/>
              <w:spacing w:before="60" w:after="20"/>
            </w:pPr>
            <w:r>
              <w:rPr>
                <w:b/>
                <w:color w:val="64748B"/>
                <w:sz w:val="20"/>
                <w:szCs w:val="20"/>
                <w:rFonts w:ascii="Arial" w:hAnsi="Arial" w:cs="Arial"/>
              </w:rPr>
              <w:t>Cash Runway</w:t>
            </w:r>
          </w:p>
          <w:p>
            <w:pPr>
              <w:jc w:val="center"/>
              <w:spacing w:after="80"/>
            </w:pPr>
            <w:r>
              <w:rPr>
                <w:b/>
                <w:color w:val="0F172A"/>
                <w:sz w:val="36"/>
                <w:szCs w:val="36"/>
                <w:rFonts w:ascii="Arial" w:hAnsi="Arial" w:cs="Arial"/>
              </w:rPr>
              <w:t>24 mo</w:t>
            </w:r>
          </w:p>
        </w:tc>
      </w:tr>
    </w:tbl>
    <w:p>
      <w:pPr>
        <w:jc w:val="center"/>
        <w:spacing w:after="120"/>
      </w:pPr>
      <w:r>
        <w:rPr>
          <w:i/>
          <w:color w:val="64748B"/>
          <w:sz w:val="20"/>
          <w:szCs w:val="20"/>
          <w:rFonts w:ascii="Arial" w:hAnsi="Arial" w:cs="Arial"/>
        </w:rPr>
        <w:t>Page two starts with a forced page break to simulate a proper leadership packet.</w:t>
      </w:r>
    </w:p>
    <w:p>
      <w:pPr>
        <w:spacing w:after="140"/>
        <w:pageBreakBefore/>
      </w:pPr>
      <w:r>
        <w:rPr>
          <w:b/>
          <w:color w:val="0F172A"/>
          <w:sz w:val="40"/>
          <w:szCs w:val="40"/>
          <w:rFonts w:ascii="Arial" w:hAnsi="Arial" w:cs="Arial"/>
        </w:rPr>
        <w:t>Board Narrative</w:t>
      </w:r>
    </w:p>
    <w:p>
      <w:pPr>
        <w:spacing w:after="100"/>
      </w:pPr>
      <w:r>
        <w:rPr>
          <w:color w:val="475569"/>
          <w:sz w:val="22"/>
          <w:szCs w:val="22"/>
          <w:rFonts w:ascii="Arial" w:hAnsi="Arial" w:cs="Arial"/>
        </w:rPr>
        <w:t>The company entered the quarter with stronger retention than forecast, a healthier sales mix, and lower infrastructure variance. The major concern remains hiring compression in customer operations and security review lead time for larger deals.</w:t>
      </w:r>
    </w:p>
    <w:p>
      <w:pPr>
        <w:spacing w:after="100"/>
      </w:pPr>
      <w:r>
        <w:rPr>
          <w:color w:val="475569"/>
          <w:sz w:val="22"/>
          <w:szCs w:val="22"/>
          <w:rFonts w:ascii="Arial" w:hAnsi="Arial" w:cs="Arial"/>
        </w:rPr>
        <w:t>Management recommends holding the current burn posture, leaning further into enterprise expansion, and continuing to delay lower-signal speculative projects until activation efficiency stabilizes.</w:t>
      </w:r>
    </w:p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Board-Level Scorecard</w:t>
      </w:r>
    </w:p>
    <w:tbl>
      <w:tblPr>
        <w:tblW w:type="dxa" w:w="9360"/>
        <w:tblBorders>
          <w:top w:val="single" w:sz="8" w:color="CBD5E1"/>
          <w:bottom w:val="single" w:sz="8" w:color="CBD5E1"/>
          <w:left w:val="single" w:sz="8" w:color="CBD5E1"/>
          <w:right w:val="single" w:sz="8" w:color="CBD5E1"/>
          <w:insideH w:val="single" w:sz="8" w:color="CBD5E1"/>
          <w:insideV w:val="single" w:sz="8" w:color="CBD5E1"/>
        </w:tblBorders>
      </w:tblPr>
      <w:tr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Category</w:t>
            </w:r>
          </w:p>
        </w:tc>
        <w:tc>
          <w:tcPr>
            <w:tcW w:type="dxa" w:w="20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Current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Status</w:t>
            </w:r>
          </w:p>
        </w:tc>
        <w:tc>
          <w:tcPr>
            <w:tcW w:type="dxa" w:w="2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Board Note</w:t>
            </w:r>
          </w:p>
        </w:tc>
      </w:tr>
      <w:tr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ARR</w:t>
            </w:r>
          </w:p>
        </w:tc>
        <w:tc>
          <w:tcPr>
            <w:tcW w:type="dxa" w:w="20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$18.7M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DCFCE7"/>
          </w:tcPr>
          <w:p>
            <w:pPr>
              <w:jc w:val="center"/>
              <w:spacing w:before="40" w:after="40"/>
            </w:pPr>
            <w:r>
              <w:rPr>
                <w:b/>
                <w:color w:val="166534"/>
                <w:sz w:val="20"/>
                <w:szCs w:val="20"/>
                <w:rFonts w:ascii="Arial" w:hAnsi="Arial" w:cs="Arial"/>
              </w:rPr>
              <w:t>Strong</w:t>
            </w:r>
          </w:p>
        </w:tc>
        <w:tc>
          <w:tcPr>
            <w:tcW w:type="dxa" w:w="2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Expansion revenue now carries 44% of net new ARR.</w:t>
            </w:r>
          </w:p>
        </w:tc>
      </w:tr>
      <w:tr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Net Revenue Retention</w:t>
            </w:r>
          </w:p>
        </w:tc>
        <w:tc>
          <w:tcPr>
            <w:tcW w:type="dxa" w:w="20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117%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DCFCE7"/>
          </w:tcPr>
          <w:p>
            <w:pPr>
              <w:jc w:val="center"/>
              <w:spacing w:before="40" w:after="40"/>
            </w:pPr>
            <w:r>
              <w:rPr>
                <w:b/>
                <w:color w:val="166534"/>
                <w:sz w:val="20"/>
                <w:szCs w:val="20"/>
                <w:rFonts w:ascii="Arial" w:hAnsi="Arial" w:cs="Arial"/>
              </w:rPr>
              <w:t>Strong</w:t>
            </w:r>
          </w:p>
        </w:tc>
        <w:tc>
          <w:tcPr>
            <w:tcW w:type="dxa" w:w="2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Churn held below forecast and large accounts expanded earlier than expected.</w:t>
            </w:r>
          </w:p>
        </w:tc>
      </w:tr>
      <w:tr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Security review cycle time</w:t>
            </w:r>
          </w:p>
        </w:tc>
        <w:tc>
          <w:tcPr>
            <w:tcW w:type="dxa" w:w="20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31 days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EF3C7"/>
          </w:tcPr>
          <w:p>
            <w:pPr>
              <w:jc w:val="center"/>
              <w:spacing w:before="40" w:after="4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Watch</w:t>
            </w:r>
          </w:p>
        </w:tc>
        <w:tc>
          <w:tcPr>
            <w:tcW w:type="dxa" w:w="2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Cycle time is manageable but still gating two seven-figure opportunities.</w:t>
            </w:r>
          </w:p>
        </w:tc>
      </w:tr>
      <w:tr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Support leadership hiring</w:t>
            </w:r>
          </w:p>
        </w:tc>
        <w:tc>
          <w:tcPr>
            <w:tcW w:type="dxa" w:w="20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1 open role</w:t>
            </w:r>
          </w:p>
        </w:tc>
        <w:tc>
          <w:tcPr>
            <w:tcW w:type="dxa" w:w="16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EE2E2"/>
          </w:tcPr>
          <w:p>
            <w:pPr>
              <w:jc w:val="center"/>
              <w:spacing w:before="40" w:after="40"/>
            </w:pPr>
            <w:r>
              <w:rPr>
                <w:b/>
                <w:color w:val="B91C1C"/>
                <w:sz w:val="20"/>
                <w:szCs w:val="20"/>
                <w:rFonts w:ascii="Arial" w:hAnsi="Arial" w:cs="Arial"/>
              </w:rPr>
              <w:t>Risk</w:t>
            </w:r>
          </w:p>
        </w:tc>
        <w:tc>
          <w:tcPr>
            <w:tcW w:type="dxa" w:w="2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Backfill delay puts pressure on response-time targets for the next quarter.</w:t>
            </w:r>
          </w:p>
        </w:tc>
      </w:tr>
    </w:tbl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Capital Allocation</w:t>
      </w:r>
    </w:p>
    <w:tbl>
      <w:tblPr>
        <w:tblW w:type="dxa" w:w="9360"/>
        <w:tblBorders>
          <w:top w:val="single" w:sz="8" w:color="CBD5E1"/>
          <w:bottom w:val="single" w:sz="8" w:color="CBD5E1"/>
          <w:left w:val="single" w:sz="8" w:color="CBD5E1"/>
          <w:right w:val="single" w:sz="8" w:color="CBD5E1"/>
          <w:insideH w:val="single" w:sz="8" w:color="CBD5E1"/>
          <w:insideV w:val="single" w:sz="8" w:color="CBD5E1"/>
        </w:tblBorders>
      </w:tblPr>
      <w:tr>
        <w:tc>
          <w:tcPr>
            <w:tcW w:type="dxa" w:w="3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Bucket</w:t>
            </w:r>
          </w:p>
        </w:tc>
        <w:tc>
          <w:tcPr>
            <w:tcW w:type="dxa" w:w="2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Investment</w:t>
            </w:r>
          </w:p>
        </w:tc>
        <w:tc>
          <w:tcPr>
            <w:tcW w:type="dxa" w:w="3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Expected Outcome</w:t>
            </w:r>
          </w:p>
        </w:tc>
      </w:tr>
      <w:tr>
        <w:tc>
          <w:tcPr>
            <w:tcW w:type="dxa" w:w="3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Core product</w:t>
            </w:r>
          </w:p>
        </w:tc>
        <w:tc>
          <w:tcPr>
            <w:tcW w:type="dxa" w:w="2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$1.2M</w:t>
            </w:r>
          </w:p>
        </w:tc>
        <w:tc>
          <w:tcPr>
            <w:tcW w:type="dxa" w:w="3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Accelerate analytics adoption and improve expansion leverage.</w:t>
            </w:r>
          </w:p>
        </w:tc>
      </w:tr>
      <w:tr>
        <w:tc>
          <w:tcPr>
            <w:tcW w:type="dxa" w:w="3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Security and compliance</w:t>
            </w:r>
          </w:p>
        </w:tc>
        <w:tc>
          <w:tcPr>
            <w:tcW w:type="dxa" w:w="2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$420k</w:t>
            </w:r>
          </w:p>
        </w:tc>
        <w:tc>
          <w:tcPr>
            <w:tcW w:type="dxa" w:w="3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Shorten procurement cycles and reduce late-stage deal risk.</w:t>
            </w:r>
          </w:p>
        </w:tc>
      </w:tr>
      <w:tr>
        <w:tc>
          <w:tcPr>
            <w:tcW w:type="dxa" w:w="3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Customer operations</w:t>
            </w:r>
          </w:p>
        </w:tc>
        <w:tc>
          <w:tcPr>
            <w:tcW w:type="dxa" w:w="22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$310k</w:t>
            </w:r>
          </w:p>
        </w:tc>
        <w:tc>
          <w:tcPr>
            <w:tcW w:type="dxa" w:w="39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Protect response SLAs and absorb enterprise account growth.</w:t>
            </w:r>
          </w:p>
        </w:tc>
      </w:tr>
    </w:tbl>
    <w:sectPr>
      <w:type w:val="nextPage"/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/>

</file>

<file path=docProps/app.xml><?xml version="1.0" encoding="utf-8"?>
<Properties xmlns="http://schemas.openxmlformats.org/officeDocument/2006/extended-properties" xmlns:vt="http://schemas.openxmlformats.org/officeDocument/2006/docPropsVTypes">
  <Application>RusDox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RusDox Document</dc:title>
  <dc:creator>RusDox</dc:creator>
  <cp:lastModifiedBy>RusDox</cp:lastModifiedBy>
  <dcterms:created xsi:type="dcterms:W3CDTF">2026-03-10T00:00:00Z</dcterms:created>
  <dcterms:modified xsi:type="dcterms:W3CDTF">2026-03-10T00:00:00Z</dcterms:modified>
</cp:coreProperties>
</file>