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240" w:after="120"/>
      </w:pPr>
      <w:r>
        <w:rPr>
          <w:b/>
          <w:color w:val="0F172A"/>
          <w:sz w:val="52"/>
          <w:szCs w:val="52"/>
          <w:rFonts w:ascii="Arial" w:hAnsi="Arial" w:cs="Arial"/>
        </w:rPr>
        <w:t>Executive Dashboard</w:t>
      </w:r>
    </w:p>
    <w:p>
      <w:pPr>
        <w:jc w:val="center"/>
        <w:spacing w:after="280"/>
      </w:pPr>
      <w:r>
        <w:rPr>
          <w:color w:val="64748B"/>
          <w:sz w:val="22"/>
          <w:szCs w:val="22"/>
          <w:rFonts w:ascii="Arial" w:hAnsi="Arial" w:cs="Arial"/>
        </w:rPr>
        <w:t>Q2 performance summary generated entirely with RusDox</w:t>
      </w:r>
    </w:p>
    <w:p>
      <w:pPr>
        <w:jc w:val="center"/>
        <w:spacing w:after="240"/>
      </w:pPr>
      <w:r>
        <w:rPr>
          <w:b/>
          <w:color w:val="0F766E"/>
          <w:sz w:val="28"/>
          <w:szCs w:val="28"/>
          <w:rFonts w:ascii="Arial" w:hAnsi="Arial" w:cs="Arial"/>
        </w:rPr>
        <w:t>Revenue up. Delivery stable. Hiring pressure contained.</w:t>
      </w:r>
    </w:p>
    <w:p>
      <w:pPr>
        <w:jc w:val="center"/>
        <w:spacing w:after="120"/>
      </w:pPr>
      <w:r>
        <w:rPr>
          <w:i/>
          <w:color w:val="64748B"/>
          <w:sz w:val="20"/>
          <w:szCs w:val="20"/>
          <w:rFonts w:ascii="Arial" w:hAnsi="Arial" w:cs="Arial"/>
        </w:rPr>
        <w:t>This document combines formatted narrative, metric cards, and board-ready tables.</w:t>
      </w:r>
    </w:p>
    <w:tbl>
      <w:tblPr>
        <w:tblW w:type="dxa" w:w="9360"/>
      </w:tblPr>
      <w:tr>
        <w:tc>
          <w:tcPr>
            <w:tcW w:type="dxa" w:w="3120"/>
            <w:tcBorders>
              <w:top w:val="single" w:sz="10" w:color="CBD5E1"/>
              <w:bottom w:val="single" w:sz="10" w:color="CBD5E1"/>
              <w:left w:val="single" w:sz="10" w:color="CBD5E1"/>
              <w:right w:val="single" w:sz="10" w:color="CBD5E1"/>
            </w:tcBorders>
            <w:shd w:val="clear" w:color="auto" w:fill="DCFCE7"/>
          </w:tcPr>
          <w:p>
            <w:pPr>
              <w:jc w:val="center"/>
              <w:spacing w:before="60" w:after="20"/>
            </w:pPr>
            <w:r>
              <w:rPr>
                <w:b/>
                <w:color w:val="64748B"/>
                <w:sz w:val="20"/>
                <w:szCs w:val="20"/>
                <w:rFonts w:ascii="Arial" w:hAnsi="Arial" w:cs="Arial"/>
              </w:rPr>
              <w:t>Net Revenue</w:t>
            </w:r>
          </w:p>
          <w:p>
            <w:pPr>
              <w:jc w:val="center"/>
              <w:spacing w:after="80"/>
            </w:pPr>
            <w:r>
              <w:rPr>
                <w:b/>
                <w:color w:val="0F172A"/>
                <w:sz w:val="36"/>
                <w:szCs w:val="36"/>
                <w:rFonts w:ascii="Arial" w:hAnsi="Arial" w:cs="Arial"/>
              </w:rPr>
              <w:t>$4.8M</w:t>
            </w:r>
          </w:p>
        </w:tc>
        <w:tc>
          <w:tcPr>
            <w:tcW w:type="dxa" w:w="3120"/>
            <w:tcBorders>
              <w:top w:val="single" w:sz="10" w:color="CBD5E1"/>
              <w:bottom w:val="single" w:sz="10" w:color="CBD5E1"/>
              <w:left w:val="single" w:sz="10" w:color="CBD5E1"/>
              <w:right w:val="single" w:sz="10" w:color="CBD5E1"/>
            </w:tcBorders>
            <w:shd w:val="clear" w:color="auto" w:fill="FEF3C7"/>
          </w:tcPr>
          <w:p>
            <w:pPr>
              <w:jc w:val="center"/>
              <w:spacing w:before="60" w:after="20"/>
            </w:pPr>
            <w:r>
              <w:rPr>
                <w:b/>
                <w:color w:val="64748B"/>
                <w:sz w:val="20"/>
                <w:szCs w:val="20"/>
                <w:rFonts w:ascii="Arial" w:hAnsi="Arial" w:cs="Arial"/>
              </w:rPr>
              <w:t>Gross Margin</w:t>
            </w:r>
          </w:p>
          <w:p>
            <w:pPr>
              <w:jc w:val="center"/>
              <w:spacing w:after="80"/>
            </w:pPr>
            <w:r>
              <w:rPr>
                <w:b/>
                <w:color w:val="0F172A"/>
                <w:sz w:val="36"/>
                <w:szCs w:val="36"/>
                <w:rFonts w:ascii="Arial" w:hAnsi="Arial" w:cs="Arial"/>
              </w:rPr>
              <w:t>68%</w:t>
            </w:r>
          </w:p>
        </w:tc>
        <w:tc>
          <w:tcPr>
            <w:tcW w:type="dxa" w:w="3120"/>
            <w:tcBorders>
              <w:top w:val="single" w:sz="10" w:color="CBD5E1"/>
              <w:bottom w:val="single" w:sz="10" w:color="CBD5E1"/>
              <w:left w:val="single" w:sz="10" w:color="CBD5E1"/>
              <w:right w:val="single" w:sz="10" w:color="CBD5E1"/>
            </w:tcBorders>
            <w:shd w:val="clear" w:color="auto" w:fill="F8FAFC"/>
          </w:tcPr>
          <w:p>
            <w:pPr>
              <w:jc w:val="center"/>
              <w:spacing w:before="60" w:after="20"/>
            </w:pPr>
            <w:r>
              <w:rPr>
                <w:b/>
                <w:color w:val="64748B"/>
                <w:sz w:val="20"/>
                <w:szCs w:val="20"/>
                <w:rFonts w:ascii="Arial" w:hAnsi="Arial" w:cs="Arial"/>
              </w:rPr>
              <w:t>NPS</w:t>
            </w:r>
          </w:p>
          <w:p>
            <w:pPr>
              <w:jc w:val="center"/>
              <w:spacing w:after="80"/>
            </w:pPr>
            <w:r>
              <w:rPr>
                <w:b/>
                <w:color w:val="0F172A"/>
                <w:sz w:val="36"/>
                <w:szCs w:val="36"/>
                <w:rFonts w:ascii="Arial" w:hAnsi="Arial" w:cs="Arial"/>
              </w:rPr>
              <w:t>61</w:t>
            </w:r>
          </w:p>
        </w:tc>
      </w:tr>
    </w:tbl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Executive Summary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The operating model held under increased demand. Enterprise expansion offset a slower mid-market pipeline, and the support backlog stayed below the target threshold through the quarter.</w:t>
      </w:r>
    </w:p>
    <w:p>
      <w:pPr>
        <w:spacing w:after="100"/>
      </w:pPr>
      <w:r>
        <w:rPr>
          <w:color w:val="475569"/>
          <w:sz w:val="22"/>
          <w:szCs w:val="22"/>
          <w:rFonts w:ascii="Arial" w:hAnsi="Arial" w:cs="Arial"/>
        </w:rPr>
        <w:t>Leadership focus for the next 60 days is disciplined staffing, launch readiness for the analytics module, and reducing the onboarding drop-off rate in the first two weeks.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Business Highlights</w:t>
      </w:r>
    </w:p>
    <w:p>
      <w:pPr>
        <w:spacing w:after="80"/>
      </w:pPr>
      <w:r>
        <w:rPr>
          <w:b/>
          <w:color w:val="0F766E"/>
          <w:sz w:val="22"/>
          <w:szCs w:val="22"/>
          <w:rFonts w:ascii="Arial" w:hAnsi="Arial" w:cs="Arial"/>
        </w:rPr>
        <w:t xml:space="preserve">• </w:t>
      </w:r>
      <w:r>
        <w:rPr>
          <w:color w:val="475569"/>
          <w:sz w:val="22"/>
          <w:szCs w:val="22"/>
          <w:rFonts w:ascii="Arial" w:hAnsi="Arial" w:cs="Arial"/>
        </w:rPr>
        <w:t>Closed the largest annual contract in company history with a three-year term.</w:t>
      </w:r>
    </w:p>
    <w:p>
      <w:pPr>
        <w:spacing w:after="80"/>
      </w:pPr>
      <w:r>
        <w:rPr>
          <w:b/>
          <w:color w:val="0F766E"/>
          <w:sz w:val="22"/>
          <w:szCs w:val="22"/>
          <w:rFonts w:ascii="Arial" w:hAnsi="Arial" w:cs="Arial"/>
        </w:rPr>
        <w:t xml:space="preserve">• </w:t>
      </w:r>
      <w:r>
        <w:rPr>
          <w:color w:val="475569"/>
          <w:sz w:val="22"/>
          <w:szCs w:val="22"/>
          <w:rFonts w:ascii="Arial" w:hAnsi="Arial" w:cs="Arial"/>
        </w:rPr>
        <w:t>Reduced incident volume by 27% after the infrastructure hardening sprint.</w:t>
      </w:r>
    </w:p>
    <w:p>
      <w:pPr>
        <w:spacing w:after="80"/>
      </w:pPr>
      <w:r>
        <w:rPr>
          <w:b/>
          <w:color w:val="0F766E"/>
          <w:sz w:val="22"/>
          <w:szCs w:val="22"/>
          <w:rFonts w:ascii="Arial" w:hAnsi="Arial" w:cs="Arial"/>
        </w:rPr>
        <w:t xml:space="preserve">• </w:t>
      </w:r>
      <w:r>
        <w:rPr>
          <w:color w:val="475569"/>
          <w:sz w:val="22"/>
          <w:szCs w:val="22"/>
          <w:rFonts w:ascii="Arial" w:hAnsi="Arial" w:cs="Arial"/>
        </w:rPr>
        <w:t>Lifted activation by 11 points after simplifying the first-run setup path.</w:t>
      </w:r>
    </w:p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Delivery Health</w:t>
      </w:r>
    </w:p>
    <w:tbl>
      <w:tblPr>
        <w:tblW w:type="dxa" w:w="9360"/>
        <w:tblBorders>
          <w:top w:val="single" w:sz="8" w:color="CBD5E1"/>
          <w:bottom w:val="single" w:sz="8" w:color="CBD5E1"/>
          <w:left w:val="single" w:sz="8" w:color="CBD5E1"/>
          <w:right w:val="single" w:sz="8" w:color="CBD5E1"/>
          <w:insideH w:val="single" w:sz="8" w:color="CBD5E1"/>
          <w:insideV w:val="single" w:sz="8" w:color="CBD5E1"/>
        </w:tblBorders>
      </w:tblPr>
      <w:tr>
        <w:tc>
          <w:tcPr>
            <w:tcW w:type="dxa" w:w="2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Workstream</w:t>
            </w:r>
          </w:p>
        </w:tc>
        <w:tc>
          <w:tcPr>
            <w:tcW w:type="dxa" w:w="1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Owner</w:t>
            </w:r>
          </w:p>
        </w:tc>
        <w:tc>
          <w:tcPr>
            <w:tcW w:type="dxa" w:w="17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Status</w:t>
            </w:r>
          </w:p>
        </w:tc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Commentary</w:t>
            </w:r>
          </w:p>
        </w:tc>
      </w:tr>
      <w:tr>
        <w:tc>
          <w:tcPr>
            <w:tcW w:type="dxa" w:w="2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Analytics launch</w:t>
            </w:r>
          </w:p>
        </w:tc>
        <w:tc>
          <w:tcPr>
            <w:tcW w:type="dxa" w:w="1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Product</w:t>
            </w:r>
          </w:p>
        </w:tc>
        <w:tc>
          <w:tcPr>
            <w:tcW w:type="dxa" w:w="17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DCFCE7"/>
          </w:tcPr>
          <w:p>
            <w:pPr>
              <w:jc w:val="center"/>
              <w:spacing w:before="40" w:after="40"/>
            </w:pPr>
            <w:r>
              <w:rPr>
                <w:b/>
                <w:color w:val="166534"/>
                <w:sz w:val="20"/>
                <w:szCs w:val="20"/>
                <w:rFonts w:ascii="Arial" w:hAnsi="Arial" w:cs="Arial"/>
              </w:rPr>
              <w:t>On Track</w:t>
            </w:r>
          </w:p>
        </w:tc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Pilot complete, commercial launch planned for April 7.</w:t>
            </w:r>
          </w:p>
        </w:tc>
      </w:tr>
      <w:tr>
        <w:tc>
          <w:tcPr>
            <w:tcW w:type="dxa" w:w="2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Security review</w:t>
            </w:r>
          </w:p>
        </w:tc>
        <w:tc>
          <w:tcPr>
            <w:tcW w:type="dxa" w:w="1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Platform</w:t>
            </w:r>
          </w:p>
        </w:tc>
        <w:tc>
          <w:tcPr>
            <w:tcW w:type="dxa" w:w="17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EF3C7"/>
          </w:tcPr>
          <w:p>
            <w:pPr>
              <w:jc w:val="center"/>
              <w:spacing w:before="40" w:after="4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Watch</w:t>
            </w:r>
          </w:p>
        </w:tc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Vendor evidence pack outstanding on two medium-risk controls.</w:t>
            </w:r>
          </w:p>
        </w:tc>
      </w:tr>
      <w:tr>
        <w:tc>
          <w:tcPr>
            <w:tcW w:type="dxa" w:w="2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Support tooling</w:t>
            </w:r>
          </w:p>
        </w:tc>
        <w:tc>
          <w:tcPr>
            <w:tcW w:type="dxa" w:w="1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Operations</w:t>
            </w:r>
          </w:p>
        </w:tc>
        <w:tc>
          <w:tcPr>
            <w:tcW w:type="dxa" w:w="17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DCFCE7"/>
          </w:tcPr>
          <w:p>
            <w:pPr>
              <w:jc w:val="center"/>
              <w:spacing w:before="40" w:after="40"/>
            </w:pPr>
            <w:r>
              <w:rPr>
                <w:b/>
                <w:color w:val="166534"/>
                <w:sz w:val="20"/>
                <w:szCs w:val="20"/>
                <w:rFonts w:ascii="Arial" w:hAnsi="Arial" w:cs="Arial"/>
              </w:rPr>
              <w:t>On Track</w:t>
            </w:r>
          </w:p>
        </w:tc>
        <w:tc>
          <w:tcPr>
            <w:tcW w:type="dxa" w:w="28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Macro automation reduced average handling time by 14%.</w:t>
            </w:r>
          </w:p>
        </w:tc>
      </w:tr>
    </w:tbl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Risk Register</w:t>
      </w:r>
    </w:p>
    <w:tbl>
      <w:tblPr>
        <w:tblW w:type="dxa" w:w="9360"/>
        <w:tblBorders>
          <w:top w:val="single" w:sz="8" w:color="CBD5E1"/>
          <w:bottom w:val="single" w:sz="8" w:color="CBD5E1"/>
          <w:left w:val="single" w:sz="8" w:color="CBD5E1"/>
          <w:right w:val="single" w:sz="8" w:color="CBD5E1"/>
          <w:insideH w:val="single" w:sz="8" w:color="CBD5E1"/>
          <w:insideV w:val="single" w:sz="8" w:color="CBD5E1"/>
        </w:tblBorders>
      </w:tblPr>
      <w:tr>
        <w:tc>
          <w:tcPr>
            <w:tcW w:type="dxa" w:w="27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Risk</w:t>
            </w:r>
          </w:p>
        </w:tc>
        <w:tc>
          <w:tcPr>
            <w:tcW w:type="dxa" w:w="1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Impact</w:t>
            </w:r>
          </w:p>
        </w:tc>
        <w:tc>
          <w:tcPr>
            <w:tcW w:type="dxa" w:w="47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E2E8F0"/>
          </w:tcPr>
          <w:p>
            <w:pPr>
              <w:spacing w:before="50" w:after="5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Mitigation</w:t>
            </w:r>
          </w:p>
        </w:tc>
      </w:tr>
      <w:tr>
        <w:tc>
          <w:tcPr>
            <w:tcW w:type="dxa" w:w="27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Late enterprise security approvals</w:t>
            </w:r>
          </w:p>
        </w:tc>
        <w:tc>
          <w:tcPr>
            <w:tcW w:type="dxa" w:w="1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EF3C7"/>
          </w:tcPr>
          <w:p>
            <w:pPr>
              <w:jc w:val="center"/>
              <w:spacing w:before="40" w:after="40"/>
            </w:pPr>
            <w:r>
              <w:rPr>
                <w:b/>
                <w:color w:val="0F172A"/>
                <w:sz w:val="20"/>
                <w:szCs w:val="20"/>
                <w:rFonts w:ascii="Arial" w:hAnsi="Arial" w:cs="Arial"/>
              </w:rPr>
              <w:t>Medium</w:t>
            </w:r>
          </w:p>
        </w:tc>
        <w:tc>
          <w:tcPr>
            <w:tcW w:type="dxa" w:w="47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Pre-stage evidence packs and assign a named escalation owner per account.</w:t>
            </w:r>
          </w:p>
        </w:tc>
      </w:tr>
      <w:tr>
        <w:tc>
          <w:tcPr>
            <w:tcW w:type="dxa" w:w="27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Hiring delay for senior support lead</w:t>
            </w:r>
          </w:p>
        </w:tc>
        <w:tc>
          <w:tcPr>
            <w:tcW w:type="dxa" w:w="190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EE2E2"/>
          </w:tcPr>
          <w:p>
            <w:pPr>
              <w:jc w:val="center"/>
              <w:spacing w:before="40" w:after="40"/>
            </w:pPr>
            <w:r>
              <w:rPr>
                <w:b/>
                <w:color w:val="B91C1C"/>
                <w:sz w:val="20"/>
                <w:szCs w:val="20"/>
                <w:rFonts w:ascii="Arial" w:hAnsi="Arial" w:cs="Arial"/>
              </w:rPr>
              <w:t>High</w:t>
            </w:r>
          </w:p>
        </w:tc>
        <w:tc>
          <w:tcPr>
            <w:tcW w:type="dxa" w:w="4760"/>
            <w:tcBorders>
              <w:top w:val="single" w:sz="8" w:color="CBD5E1"/>
              <w:bottom w:val="single" w:sz="8" w:color="CBD5E1"/>
              <w:left w:val="single" w:sz="8" w:color="CBD5E1"/>
              <w:right w:val="single" w:sz="8" w:color="CBD5E1"/>
              <w:insideH w:val="single" w:sz="8" w:color="CBD5E1"/>
              <w:insideV w:val="single" w:sz="8" w:color="CBD5E1"/>
            </w:tcBorders>
            <w:shd w:val="clear" w:color="auto" w:fill="F8FAFC"/>
          </w:tcPr>
          <w:p>
            <w:pPr>
              <w:spacing w:before="40" w:after="40"/>
            </w:pPr>
            <w:r>
              <w:rPr>
                <w:color w:val="475569"/>
                <w:sz w:val="20"/>
                <w:szCs w:val="20"/>
                <w:rFonts w:ascii="Arial" w:hAnsi="Arial" w:cs="Arial"/>
              </w:rPr>
              <w:t>Use interim contractor coverage and compress interview loop to five business days.</w:t>
            </w:r>
          </w:p>
        </w:tc>
      </w:tr>
    </w:tbl>
    <w:p>
      <w:pPr>
        <w:spacing w:before="220" w:after="90"/>
      </w:pPr>
      <w:r>
        <w:rPr>
          <w:b/>
          <w:u w:val="single"/>
          <w:color w:val="0F172A"/>
          <w:sz w:val="30"/>
          <w:szCs w:val="30"/>
          <w:rFonts w:ascii="Arial" w:hAnsi="Arial" w:cs="Arial"/>
        </w:rPr>
        <w:t>Next 30 Days</w:t>
      </w:r>
    </w:p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Priority 1: </w:t>
      </w:r>
      <w:r>
        <w:rPr>
          <w:color w:val="475569"/>
          <w:sz w:val="22"/>
          <w:szCs w:val="22"/>
          <w:rFonts w:ascii="Arial" w:hAnsi="Arial" w:cs="Arial"/>
        </w:rPr>
        <w:t>Launch analytics module to the first 25 production customers</w:t>
      </w:r>
    </w:p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Priority 2: </w:t>
      </w:r>
      <w:r>
        <w:rPr>
          <w:color w:val="475569"/>
          <w:sz w:val="22"/>
          <w:szCs w:val="22"/>
          <w:rFonts w:ascii="Arial" w:hAnsi="Arial" w:cs="Arial"/>
        </w:rPr>
        <w:t>Close support lead hire and finalize the on-call operating model</w:t>
      </w:r>
    </w:p>
    <w:p>
      <w:pPr>
        <w:spacing w:after="70"/>
      </w:pPr>
      <w:r>
        <w:rPr>
          <w:b/>
          <w:color w:val="0F172A"/>
          <w:sz w:val="22"/>
          <w:szCs w:val="22"/>
          <w:rFonts w:ascii="Arial" w:hAnsi="Arial" w:cs="Arial"/>
        </w:rPr>
        <w:t xml:space="preserve">Priority 3: </w:t>
      </w:r>
      <w:r>
        <w:rPr>
          <w:color w:val="475569"/>
          <w:sz w:val="22"/>
          <w:szCs w:val="22"/>
          <w:rFonts w:ascii="Arial" w:hAnsi="Arial" w:cs="Arial"/>
        </w:rPr>
        <w:t>Publish activation funnel dashboard to all functional leads</w:t>
      </w:r>
    </w:p>
    <w:p>
      <w:pPr>
        <w:spacing w:after="120"/>
      </w:pPr>
    </w:p>
    <w:sectPr>
      <w:type w:val="nextPage"/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/>

</file>

<file path=docProps/app.xml><?xml version="1.0" encoding="utf-8"?>
<Properties xmlns="http://schemas.openxmlformats.org/officeDocument/2006/extended-properties" xmlns:vt="http://schemas.openxmlformats.org/officeDocument/2006/docPropsVTypes">
  <Application>RusDox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RusDox Document</dc:title>
  <dc:creator>RusDox</dc:creator>
  <cp:lastModifiedBy>RusDox</cp:lastModifiedBy>
  <dcterms:created xsi:type="dcterms:W3CDTF">2026-03-10T00:00:00Z</dcterms:created>
  <dcterms:modified xsi:type="dcterms:W3CDTF">2026-03-10T00:00:00Z</dcterms:modified>
</cp:coreProperties>
</file>