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240" w:after="120"/>
      </w:pPr>
      <w:r>
        <w:rPr>
          <w:b/>
          <w:color w:val="0F172A"/>
          <w:sz w:val="52"/>
          <w:szCs w:val="52"/>
          <w:rFonts w:ascii="Arial" w:hAnsi="Arial" w:cs="Arial"/>
        </w:rPr>
        <w:t>Product Launch Brief</w:t>
      </w:r>
    </w:p>
    <w:p>
      <w:pPr>
        <w:jc w:val="center"/>
        <w:spacing w:after="280"/>
      </w:pPr>
      <w:r>
        <w:rPr>
          <w:color w:val="64748B"/>
          <w:sz w:val="22"/>
          <w:szCs w:val="22"/>
          <w:rFonts w:ascii="Arial" w:hAnsi="Arial" w:cs="Arial"/>
        </w:rPr>
        <w:t>Analytics Module</w:t>
      </w:r>
    </w:p>
    <w:p>
      <w:pPr>
        <w:jc w:val="center"/>
        <w:spacing w:after="240"/>
      </w:pPr>
      <w:r>
        <w:rPr>
          <w:b/>
          <w:color w:val="0F766E"/>
          <w:sz w:val="28"/>
          <w:szCs w:val="28"/>
          <w:rFonts w:ascii="Arial" w:hAnsi="Arial" w:cs="Arial"/>
        </w:rPr>
        <w:t>Internal launch packet for GTM, support, and leadership</w:t>
      </w:r>
    </w:p>
    <w:p>
      <w:pPr>
        <w:spacing w:before="220" w:after="90"/>
      </w:pPr>
      <w:r>
        <w:rPr>
          <w:b/>
          <w:u w:val="single"/>
          <w:color w:val="0F172A"/>
          <w:sz w:val="30"/>
          <w:szCs w:val="30"/>
          <w:rFonts w:ascii="Arial" w:hAnsi="Arial" w:cs="Arial"/>
        </w:rPr>
        <w:t>Launch Narrative</w:t>
      </w:r>
    </w:p>
    <w:p>
      <w:pPr>
        <w:spacing w:after="100"/>
      </w:pPr>
      <w:r>
        <w:rPr>
          <w:color w:val="475569"/>
          <w:sz w:val="22"/>
          <w:szCs w:val="22"/>
          <w:rFonts w:ascii="Arial" w:hAnsi="Arial" w:cs="Arial"/>
        </w:rPr>
        <w:t>The analytics module turns weekly CSV exports into a live dashboard experience with trend summaries, cohort breakdowns, and alerting. The launch goal is to convert analyst-heavy workflows into a daily operating surface used by customer success and finance leads.</w:t>
      </w:r>
    </w:p>
    <w:p>
      <w:pPr>
        <w:spacing w:before="220" w:after="90"/>
      </w:pPr>
      <w:r>
        <w:rPr>
          <w:b/>
          <w:u w:val="single"/>
          <w:color w:val="0F172A"/>
          <w:sz w:val="30"/>
          <w:szCs w:val="30"/>
          <w:rFonts w:ascii="Arial" w:hAnsi="Arial" w:cs="Arial"/>
        </w:rPr>
        <w:t>What Changes For Customers</w:t>
      </w:r>
    </w:p>
    <w:p>
      <w:pPr>
        <w:spacing w:after="80"/>
      </w:pPr>
      <w:r>
        <w:rPr>
          <w:b/>
          <w:color w:val="0F766E"/>
          <w:sz w:val="22"/>
          <w:szCs w:val="22"/>
          <w:rFonts w:ascii="Arial" w:hAnsi="Arial" w:cs="Arial"/>
        </w:rPr>
        <w:t xml:space="preserve">• </w:t>
      </w:r>
      <w:r>
        <w:rPr>
          <w:color w:val="475569"/>
          <w:sz w:val="22"/>
          <w:szCs w:val="22"/>
          <w:rFonts w:ascii="Arial" w:hAnsi="Arial" w:cs="Arial"/>
        </w:rPr>
        <w:t>Time-to-insight drops from hours to minutes for weekly reviews.</w:t>
      </w:r>
    </w:p>
    <w:p>
      <w:pPr>
        <w:spacing w:after="80"/>
      </w:pPr>
      <w:r>
        <w:rPr>
          <w:b/>
          <w:color w:val="0F766E"/>
          <w:sz w:val="22"/>
          <w:szCs w:val="22"/>
          <w:rFonts w:ascii="Arial" w:hAnsi="Arial" w:cs="Arial"/>
        </w:rPr>
        <w:t xml:space="preserve">• </w:t>
      </w:r>
      <w:r>
        <w:rPr>
          <w:color w:val="475569"/>
          <w:sz w:val="22"/>
          <w:szCs w:val="22"/>
          <w:rFonts w:ascii="Arial" w:hAnsi="Arial" w:cs="Arial"/>
        </w:rPr>
        <w:t>Account health indicators move from static exports to live views.</w:t>
      </w:r>
    </w:p>
    <w:p>
      <w:pPr>
        <w:spacing w:after="80"/>
      </w:pPr>
      <w:r>
        <w:rPr>
          <w:b/>
          <w:color w:val="0F766E"/>
          <w:sz w:val="22"/>
          <w:szCs w:val="22"/>
          <w:rFonts w:ascii="Arial" w:hAnsi="Arial" w:cs="Arial"/>
        </w:rPr>
        <w:t xml:space="preserve">• </w:t>
      </w:r>
      <w:r>
        <w:rPr>
          <w:color w:val="475569"/>
          <w:sz w:val="22"/>
          <w:szCs w:val="22"/>
          <w:rFonts w:ascii="Arial" w:hAnsi="Arial" w:cs="Arial"/>
        </w:rPr>
        <w:t>Ops leaders can spot expansion or churn signals before QBRs.</w:t>
      </w:r>
    </w:p>
    <w:p>
      <w:pPr>
        <w:spacing w:before="220" w:after="90"/>
      </w:pPr>
      <w:r>
        <w:rPr>
          <w:b/>
          <w:u w:val="single"/>
          <w:color w:val="0F172A"/>
          <w:sz w:val="30"/>
          <w:szCs w:val="30"/>
          <w:rFonts w:ascii="Arial" w:hAnsi="Arial" w:cs="Arial"/>
        </w:rPr>
        <w:t>Readiness Checklist</w:t>
      </w:r>
    </w:p>
    <w:tbl>
      <w:tblPr>
        <w:tblW w:type="dxa" w:w="9360"/>
        <w:tblBorders>
          <w:top w:val="single" w:sz="8" w:color="CBD5E1"/>
          <w:bottom w:val="single" w:sz="8" w:color="CBD5E1"/>
          <w:left w:val="single" w:sz="8" w:color="CBD5E1"/>
          <w:right w:val="single" w:sz="8" w:color="CBD5E1"/>
          <w:insideH w:val="single" w:sz="8" w:color="CBD5E1"/>
          <w:insideV w:val="single" w:sz="8" w:color="CBD5E1"/>
        </w:tblBorders>
      </w:tblPr>
      <w:tr>
        <w:tc>
          <w:tcPr>
            <w:tcW w:type="dxa" w:w="27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E2E8F0"/>
          </w:tcPr>
          <w:p>
            <w:pPr>
              <w:spacing w:before="50" w:after="5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Area</w:t>
            </w:r>
          </w:p>
        </w:tc>
        <w:tc>
          <w:tcPr>
            <w:tcW w:type="dxa" w:w="19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E2E8F0"/>
          </w:tcPr>
          <w:p>
            <w:pPr>
              <w:spacing w:before="50" w:after="5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Owner</w:t>
            </w:r>
          </w:p>
        </w:tc>
        <w:tc>
          <w:tcPr>
            <w:tcW w:type="dxa" w:w="17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E2E8F0"/>
          </w:tcPr>
          <w:p>
            <w:pPr>
              <w:spacing w:before="50" w:after="5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Status</w:t>
            </w:r>
          </w:p>
        </w:tc>
        <w:tc>
          <w:tcPr>
            <w:tcW w:type="dxa" w:w="3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E2E8F0"/>
          </w:tcPr>
          <w:p>
            <w:pPr>
              <w:spacing w:before="50" w:after="5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Note</w:t>
            </w:r>
          </w:p>
        </w:tc>
      </w:tr>
      <w:tr>
        <w:tc>
          <w:tcPr>
            <w:tcW w:type="dxa" w:w="27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Pricing and packaging</w:t>
            </w:r>
          </w:p>
        </w:tc>
        <w:tc>
          <w:tcPr>
            <w:tcW w:type="dxa" w:w="19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GTM</w:t>
            </w:r>
          </w:p>
        </w:tc>
        <w:tc>
          <w:tcPr>
            <w:tcW w:type="dxa" w:w="17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DCFCE7"/>
          </w:tcPr>
          <w:p>
            <w:pPr>
              <w:jc w:val="center"/>
              <w:spacing w:before="40" w:after="40"/>
            </w:pPr>
            <w:r>
              <w:rPr>
                <w:b/>
                <w:color w:val="166534"/>
                <w:sz w:val="20"/>
                <w:szCs w:val="20"/>
                <w:rFonts w:ascii="Arial" w:hAnsi="Arial" w:cs="Arial"/>
              </w:rPr>
              <w:t>Ready</w:t>
            </w:r>
          </w:p>
        </w:tc>
        <w:tc>
          <w:tcPr>
            <w:tcW w:type="dxa" w:w="3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Approved by finance and legal.</w:t>
            </w:r>
          </w:p>
        </w:tc>
      </w:tr>
      <w:tr>
        <w:tc>
          <w:tcPr>
            <w:tcW w:type="dxa" w:w="27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In-app onboarding</w:t>
            </w:r>
          </w:p>
        </w:tc>
        <w:tc>
          <w:tcPr>
            <w:tcW w:type="dxa" w:w="19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Product</w:t>
            </w:r>
          </w:p>
        </w:tc>
        <w:tc>
          <w:tcPr>
            <w:tcW w:type="dxa" w:w="17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DCFCE7"/>
          </w:tcPr>
          <w:p>
            <w:pPr>
              <w:jc w:val="center"/>
              <w:spacing w:before="40" w:after="40"/>
            </w:pPr>
            <w:r>
              <w:rPr>
                <w:b/>
                <w:color w:val="166534"/>
                <w:sz w:val="20"/>
                <w:szCs w:val="20"/>
                <w:rFonts w:ascii="Arial" w:hAnsi="Arial" w:cs="Arial"/>
              </w:rPr>
              <w:t>Ready</w:t>
            </w:r>
          </w:p>
        </w:tc>
        <w:tc>
          <w:tcPr>
            <w:tcW w:type="dxa" w:w="3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Walkthrough complete and QA signed off.</w:t>
            </w:r>
          </w:p>
        </w:tc>
      </w:tr>
      <w:tr>
        <w:tc>
          <w:tcPr>
            <w:tcW w:type="dxa" w:w="27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Support macros</w:t>
            </w:r>
          </w:p>
        </w:tc>
        <w:tc>
          <w:tcPr>
            <w:tcW w:type="dxa" w:w="19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Support</w:t>
            </w:r>
          </w:p>
        </w:tc>
        <w:tc>
          <w:tcPr>
            <w:tcW w:type="dxa" w:w="17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EF3C7"/>
          </w:tcPr>
          <w:p>
            <w:pPr>
              <w:jc w:val="center"/>
              <w:spacing w:before="40" w:after="4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Watch</w:t>
            </w:r>
          </w:p>
        </w:tc>
        <w:tc>
          <w:tcPr>
            <w:tcW w:type="dxa" w:w="3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Two edge-case answers still need final screenshots.</w:t>
            </w:r>
          </w:p>
        </w:tc>
      </w:tr>
      <w:tr>
        <w:tc>
          <w:tcPr>
            <w:tcW w:type="dxa" w:w="27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Security FAQ</w:t>
            </w:r>
          </w:p>
        </w:tc>
        <w:tc>
          <w:tcPr>
            <w:tcW w:type="dxa" w:w="19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Security</w:t>
            </w:r>
          </w:p>
        </w:tc>
        <w:tc>
          <w:tcPr>
            <w:tcW w:type="dxa" w:w="17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EE2E2"/>
          </w:tcPr>
          <w:p>
            <w:pPr>
              <w:jc w:val="center"/>
              <w:spacing w:before="40" w:after="40"/>
            </w:pPr>
            <w:r>
              <w:rPr>
                <w:b/>
                <w:color w:val="B91C1C"/>
                <w:sz w:val="20"/>
                <w:szCs w:val="20"/>
                <w:rFonts w:ascii="Arial" w:hAnsi="Arial" w:cs="Arial"/>
              </w:rPr>
              <w:t>Risk</w:t>
            </w:r>
          </w:p>
        </w:tc>
        <w:tc>
          <w:tcPr>
            <w:tcW w:type="dxa" w:w="3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Pending sign-off on data residency wording.</w:t>
            </w:r>
          </w:p>
        </w:tc>
      </w:tr>
    </w:tbl>
    <w:p>
      <w:pPr>
        <w:spacing w:before="220" w:after="90"/>
      </w:pPr>
      <w:r>
        <w:rPr>
          <w:b/>
          <w:u w:val="single"/>
          <w:color w:val="0F172A"/>
          <w:sz w:val="30"/>
          <w:szCs w:val="30"/>
          <w:rFonts w:ascii="Arial" w:hAnsi="Arial" w:cs="Arial"/>
        </w:rPr>
        <w:t>Milestones</w:t>
      </w:r>
    </w:p>
    <w:tbl>
      <w:tblPr>
        <w:tblW w:type="dxa" w:w="9360"/>
        <w:tblBorders>
          <w:top w:val="single" w:sz="8" w:color="CBD5E1"/>
          <w:bottom w:val="single" w:sz="8" w:color="CBD5E1"/>
          <w:left w:val="single" w:sz="8" w:color="CBD5E1"/>
          <w:right w:val="single" w:sz="8" w:color="CBD5E1"/>
          <w:insideH w:val="single" w:sz="8" w:color="CBD5E1"/>
          <w:insideV w:val="single" w:sz="8" w:color="CBD5E1"/>
        </w:tblBorders>
      </w:tblPr>
      <w:tr>
        <w:tc>
          <w:tcPr>
            <w:tcW w:type="dxa" w:w="41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E2E8F0"/>
          </w:tcPr>
          <w:p>
            <w:pPr>
              <w:spacing w:before="50" w:after="5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Milestone</w:t>
            </w:r>
          </w:p>
        </w:tc>
        <w:tc>
          <w:tcPr>
            <w:tcW w:type="dxa" w:w="2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E2E8F0"/>
          </w:tcPr>
          <w:p>
            <w:pPr>
              <w:spacing w:before="50" w:after="5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Date</w:t>
            </w:r>
          </w:p>
        </w:tc>
        <w:tc>
          <w:tcPr>
            <w:tcW w:type="dxa" w:w="32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E2E8F0"/>
          </w:tcPr>
          <w:p>
            <w:pPr>
              <w:spacing w:before="50" w:after="50"/>
            </w:pPr>
            <w:r>
              <w:rPr>
                <w:b/>
                <w:color w:val="0F172A"/>
                <w:sz w:val="20"/>
                <w:szCs w:val="20"/>
                <w:rFonts w:ascii="Arial" w:hAnsi="Arial" w:cs="Arial"/>
              </w:rPr>
              <w:t>Outcome</w:t>
            </w:r>
          </w:p>
        </w:tc>
      </w:tr>
      <w:tr>
        <w:tc>
          <w:tcPr>
            <w:tcW w:type="dxa" w:w="41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Pilot complete</w:t>
            </w:r>
          </w:p>
        </w:tc>
        <w:tc>
          <w:tcPr>
            <w:tcW w:type="dxa" w:w="2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March 18</w:t>
            </w:r>
          </w:p>
        </w:tc>
        <w:tc>
          <w:tcPr>
            <w:tcW w:type="dxa" w:w="32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10 design partners expanded usage</w:t>
            </w:r>
          </w:p>
        </w:tc>
      </w:tr>
      <w:tr>
        <w:tc>
          <w:tcPr>
            <w:tcW w:type="dxa" w:w="41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Launch training</w:t>
            </w:r>
          </w:p>
        </w:tc>
        <w:tc>
          <w:tcPr>
            <w:tcW w:type="dxa" w:w="2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March 22</w:t>
            </w:r>
          </w:p>
        </w:tc>
        <w:tc>
          <w:tcPr>
            <w:tcW w:type="dxa" w:w="32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GTM and support enabled</w:t>
            </w:r>
          </w:p>
        </w:tc>
      </w:tr>
      <w:tr>
        <w:tc>
          <w:tcPr>
            <w:tcW w:type="dxa" w:w="41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Commercial release</w:t>
            </w:r>
          </w:p>
        </w:tc>
        <w:tc>
          <w:tcPr>
            <w:tcW w:type="dxa" w:w="200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April 7</w:t>
            </w:r>
          </w:p>
        </w:tc>
        <w:tc>
          <w:tcPr>
            <w:tcW w:type="dxa" w:w="3260"/>
            <w:tcBorders>
              <w:top w:val="single" w:sz="8" w:color="CBD5E1"/>
              <w:bottom w:val="single" w:sz="8" w:color="CBD5E1"/>
              <w:left w:val="single" w:sz="8" w:color="CBD5E1"/>
              <w:right w:val="single" w:sz="8" w:color="CBD5E1"/>
              <w:insideH w:val="single" w:sz="8" w:color="CBD5E1"/>
              <w:insideV w:val="single" w:sz="8" w:color="CBD5E1"/>
            </w:tcBorders>
            <w:shd w:val="clear" w:color="auto" w:fill="F8FAFC"/>
          </w:tcPr>
          <w:p>
            <w:pPr>
              <w:spacing w:before="40" w:after="40"/>
            </w:pPr>
            <w:r>
              <w:rPr>
                <w:color w:val="475569"/>
                <w:sz w:val="20"/>
                <w:szCs w:val="20"/>
                <w:rFonts w:ascii="Arial" w:hAnsi="Arial" w:cs="Arial"/>
              </w:rPr>
              <w:t>Open to all Growth and Enterprise tiers</w:t>
            </w:r>
          </w:p>
        </w:tc>
      </w:tr>
    </w:tbl>
    <w:p>
      <w:pPr>
        <w:spacing w:before="220" w:after="90"/>
      </w:pPr>
      <w:r>
        <w:rPr>
          <w:b/>
          <w:u w:val="single"/>
          <w:color w:val="0F172A"/>
          <w:sz w:val="30"/>
          <w:szCs w:val="30"/>
          <w:rFonts w:ascii="Arial" w:hAnsi="Arial" w:cs="Arial"/>
        </w:rPr>
        <w:t>Success Metrics</w:t>
      </w:r>
    </w:p>
    <w:p>
      <w:pPr>
        <w:spacing w:after="70"/>
      </w:pPr>
      <w:r>
        <w:rPr>
          <w:b/>
          <w:color w:val="0F172A"/>
          <w:sz w:val="22"/>
          <w:szCs w:val="22"/>
          <w:rFonts w:ascii="Arial" w:hAnsi="Arial" w:cs="Arial"/>
        </w:rPr>
        <w:t xml:space="preserve">30-day adoption: </w:t>
      </w:r>
      <w:r>
        <w:rPr>
          <w:color w:val="475569"/>
          <w:sz w:val="22"/>
          <w:szCs w:val="22"/>
          <w:rFonts w:ascii="Arial" w:hAnsi="Arial" w:cs="Arial"/>
        </w:rPr>
        <w:t>35% of eligible customers</w:t>
      </w:r>
    </w:p>
    <w:p>
      <w:pPr>
        <w:spacing w:after="70"/>
      </w:pPr>
      <w:r>
        <w:rPr>
          <w:b/>
          <w:color w:val="0F172A"/>
          <w:sz w:val="22"/>
          <w:szCs w:val="22"/>
          <w:rFonts w:ascii="Arial" w:hAnsi="Arial" w:cs="Arial"/>
        </w:rPr>
        <w:t xml:space="preserve">Expansion signal: </w:t>
      </w:r>
      <w:r>
        <w:rPr>
          <w:color w:val="475569"/>
          <w:sz w:val="22"/>
          <w:szCs w:val="22"/>
          <w:rFonts w:ascii="Arial" w:hAnsi="Arial" w:cs="Arial"/>
        </w:rPr>
        <w:t>15 pipeline opportunities influenced</w:t>
      </w:r>
    </w:p>
    <w:p>
      <w:pPr>
        <w:spacing w:after="70"/>
      </w:pPr>
      <w:r>
        <w:rPr>
          <w:b/>
          <w:color w:val="0F172A"/>
          <w:sz w:val="22"/>
          <w:szCs w:val="22"/>
          <w:rFonts w:ascii="Arial" w:hAnsi="Arial" w:cs="Arial"/>
        </w:rPr>
        <w:t xml:space="preserve">Support health: </w:t>
      </w:r>
      <w:r>
        <w:rPr>
          <w:color w:val="475569"/>
          <w:sz w:val="22"/>
          <w:szCs w:val="22"/>
          <w:rFonts w:ascii="Arial" w:hAnsi="Arial" w:cs="Arial"/>
        </w:rPr>
        <w:t>First-response SLA above 95%</w:t>
      </w:r>
    </w:p>
    <w:p>
      <w:pPr>
        <w:spacing w:after="70"/>
      </w:pPr>
      <w:r>
        <w:rPr>
          <w:b/>
          <w:color w:val="0F172A"/>
          <w:sz w:val="22"/>
          <w:szCs w:val="22"/>
          <w:rFonts w:ascii="Arial" w:hAnsi="Arial" w:cs="Arial"/>
        </w:rPr>
        <w:t xml:space="preserve">Narrative: </w:t>
      </w:r>
      <w:r>
        <w:rPr>
          <w:color w:val="475569"/>
          <w:sz w:val="22"/>
          <w:szCs w:val="22"/>
          <w:rFonts w:ascii="Arial" w:hAnsi="Arial" w:cs="Arial"/>
        </w:rPr>
        <w:t>Styling is inherited from rusdox.toml, not hardcoded in the document.</w:t>
      </w:r>
    </w:p>
    <w:sectPr>
      <w:type w:val="nextPage"/>
      <w:pgSz w:w="12240" w:h="15840"/>
      <w:pgMar w:top="1440" w:right="1440" w:bottom="1440" w:left="1440" w:header="720" w:footer="720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/>

</file>

<file path=docProps/app.xml><?xml version="1.0" encoding="utf-8"?>
<Properties xmlns="http://schemas.openxmlformats.org/officeDocument/2006/extended-properties" xmlns:vt="http://schemas.openxmlformats.org/officeDocument/2006/docPropsVTypes">
  <Application>RusDox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RusDox Document</dc:title>
  <dc:creator>RusDox</dc:creator>
  <cp:lastModifiedBy>RusDox</cp:lastModifiedBy>
  <dcterms:created xsi:type="dcterms:W3CDTF">2026-03-10T00:00:00Z</dcterms:created>
  <dcterms:modified xsi:type="dcterms:W3CDTF">2026-03-10T00:00:00Z</dcterms:modified>
</cp:coreProperties>
</file>